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0B2D33" w:rsidRDefault="000B2D33" w:rsidP="000B2D33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 Joindre une copie de la notification de decision ou ou copie de l’accusé de reception du dossier de demande auprès de la MDPH ou tout autre titre justificatif.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Pr="009C1C0A">
              <w:rPr>
                <w:rFonts w:asciiTheme="minorHAnsi" w:hAnsiTheme="minorHAnsi" w:cstheme="minorHAnsi"/>
                <w:i/>
              </w:rPr>
              <w:t>(si différente de la date de signature du contrat)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>Motifs de la demande</w:t>
      </w:r>
      <w:r w:rsidR="007D7DDE">
        <w:t xml:space="preserve"> de mois de prolongation du financement du contrat</w:t>
      </w:r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E6277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6277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2c7ddd52-0a06-43b1-a35c-dcb15ea2e3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241EA-C7EF-45F9-AAEF-41EF808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HUBE Joelle</cp:lastModifiedBy>
  <cp:revision>2</cp:revision>
  <dcterms:created xsi:type="dcterms:W3CDTF">2022-01-05T12:17:00Z</dcterms:created>
  <dcterms:modified xsi:type="dcterms:W3CDTF">2022-01-05T12:17:00Z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